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DCBF9" w14:textId="77777777" w:rsidR="00C53BFD" w:rsidRDefault="003362CD" w:rsidP="00C53BFD">
      <w:pPr>
        <w:jc w:val="both"/>
        <w:rPr>
          <w:sz w:val="24"/>
        </w:rPr>
      </w:pPr>
      <w:bookmarkStart w:id="0" w:name="_GoBack"/>
      <w:bookmarkEnd w:id="0"/>
      <w:r>
        <w:rPr>
          <w:b/>
          <w:sz w:val="24"/>
        </w:rPr>
        <w:t>Title</w:t>
      </w:r>
      <w:r w:rsidR="00C53BFD">
        <w:rPr>
          <w:b/>
          <w:sz w:val="24"/>
        </w:rPr>
        <w:t xml:space="preserve">: </w:t>
      </w:r>
      <w:r w:rsidR="00C53BFD">
        <w:rPr>
          <w:sz w:val="24"/>
        </w:rPr>
        <w:t>Simulated learning in a mock ward setting: a tool for developing clinical knowledge, improving patient safety and inspiring future hospital pharmacists.</w:t>
      </w:r>
    </w:p>
    <w:p w14:paraId="391707B8" w14:textId="77777777" w:rsidR="00C53BFD" w:rsidRDefault="00C53BFD" w:rsidP="00C53BFD">
      <w:pPr>
        <w:jc w:val="both"/>
        <w:rPr>
          <w:sz w:val="24"/>
        </w:rPr>
      </w:pPr>
    </w:p>
    <w:p w14:paraId="438FE5DA" w14:textId="77777777" w:rsidR="00C53BFD" w:rsidRDefault="00C53BFD" w:rsidP="00C53BFD">
      <w:pPr>
        <w:jc w:val="both"/>
        <w:rPr>
          <w:b/>
          <w:sz w:val="24"/>
        </w:rPr>
      </w:pPr>
      <w:r w:rsidRPr="00806688">
        <w:rPr>
          <w:b/>
          <w:sz w:val="24"/>
        </w:rPr>
        <w:t xml:space="preserve">Authors: </w:t>
      </w:r>
    </w:p>
    <w:p w14:paraId="0271A508" w14:textId="77777777" w:rsidR="00C53BFD" w:rsidRPr="00806688" w:rsidRDefault="00C53BFD" w:rsidP="00C53BFD">
      <w:pPr>
        <w:jc w:val="both"/>
        <w:rPr>
          <w:b/>
          <w:sz w:val="24"/>
        </w:rPr>
      </w:pPr>
      <w:r>
        <w:rPr>
          <w:sz w:val="24"/>
        </w:rPr>
        <w:t xml:space="preserve">Sturrock A, Wales J, </w:t>
      </w:r>
      <w:r w:rsidRPr="00806688">
        <w:rPr>
          <w:sz w:val="24"/>
        </w:rPr>
        <w:t>Hardisty J,</w:t>
      </w:r>
      <w:r w:rsidRPr="00405283">
        <w:rPr>
          <w:sz w:val="24"/>
        </w:rPr>
        <w:t xml:space="preserve"> </w:t>
      </w:r>
      <w:r>
        <w:rPr>
          <w:sz w:val="24"/>
        </w:rPr>
        <w:t>Statham L</w:t>
      </w:r>
    </w:p>
    <w:p w14:paraId="5CD4C64C" w14:textId="77777777" w:rsidR="00C53BFD" w:rsidRDefault="00C53BFD" w:rsidP="00C53BFD">
      <w:pPr>
        <w:jc w:val="both"/>
        <w:rPr>
          <w:b/>
          <w:sz w:val="24"/>
        </w:rPr>
      </w:pPr>
    </w:p>
    <w:p w14:paraId="69C839C3" w14:textId="77777777" w:rsidR="00C53BFD" w:rsidRDefault="00C53BFD" w:rsidP="00C53BFD">
      <w:pPr>
        <w:jc w:val="both"/>
        <w:rPr>
          <w:b/>
          <w:sz w:val="24"/>
        </w:rPr>
      </w:pPr>
      <w:r w:rsidRPr="00806688">
        <w:rPr>
          <w:b/>
          <w:sz w:val="24"/>
        </w:rPr>
        <w:t xml:space="preserve">Institution: </w:t>
      </w:r>
    </w:p>
    <w:p w14:paraId="415CCAC0" w14:textId="77777777" w:rsidR="00C53BFD" w:rsidRPr="00806688" w:rsidRDefault="00C53BFD" w:rsidP="00C53BFD">
      <w:pPr>
        <w:jc w:val="both"/>
        <w:rPr>
          <w:b/>
          <w:sz w:val="24"/>
        </w:rPr>
      </w:pPr>
      <w:r w:rsidRPr="00806688">
        <w:rPr>
          <w:sz w:val="24"/>
        </w:rPr>
        <w:t>University of Sunderland</w:t>
      </w:r>
    </w:p>
    <w:p w14:paraId="1FDB0A95" w14:textId="77777777" w:rsidR="003362CD" w:rsidRDefault="003362CD" w:rsidP="00C53BFD">
      <w:pPr>
        <w:jc w:val="both"/>
        <w:rPr>
          <w:b/>
          <w:sz w:val="24"/>
        </w:rPr>
      </w:pPr>
    </w:p>
    <w:p w14:paraId="3131C002" w14:textId="77777777" w:rsidR="003362CD" w:rsidRDefault="003362CD" w:rsidP="00C53BFD">
      <w:pPr>
        <w:jc w:val="both"/>
        <w:rPr>
          <w:b/>
          <w:sz w:val="24"/>
        </w:rPr>
      </w:pPr>
      <w:r>
        <w:rPr>
          <w:b/>
          <w:sz w:val="24"/>
        </w:rPr>
        <w:t>Background</w:t>
      </w:r>
      <w:r w:rsidR="0032464A">
        <w:rPr>
          <w:b/>
          <w:sz w:val="24"/>
        </w:rPr>
        <w:t>:</w:t>
      </w:r>
    </w:p>
    <w:p w14:paraId="5C9FEA50" w14:textId="77777777" w:rsidR="006470BE" w:rsidRPr="006470BE" w:rsidRDefault="006470BE" w:rsidP="00C53BFD">
      <w:pPr>
        <w:jc w:val="both"/>
        <w:rPr>
          <w:sz w:val="24"/>
        </w:rPr>
      </w:pPr>
    </w:p>
    <w:p w14:paraId="7DECD3E1" w14:textId="714F761E" w:rsidR="006470BE" w:rsidRPr="006470BE" w:rsidRDefault="006470BE" w:rsidP="00C53BFD">
      <w:pPr>
        <w:jc w:val="both"/>
        <w:rPr>
          <w:sz w:val="24"/>
        </w:rPr>
      </w:pPr>
      <w:r w:rsidRPr="006470BE">
        <w:rPr>
          <w:sz w:val="24"/>
        </w:rPr>
        <w:t>Traditional didactic teaching and learning methods can provide fundamental knowledge, but do not develop the clinical skills that are required to apply knowledge to complex, patent focused scenarios</w:t>
      </w:r>
      <w:r>
        <w:rPr>
          <w:sz w:val="24"/>
        </w:rPr>
        <w:t>.</w:t>
      </w:r>
      <w:r w:rsidRPr="006470BE">
        <w:rPr>
          <w:sz w:val="24"/>
        </w:rPr>
        <w:t xml:space="preserve"> </w:t>
      </w:r>
      <w:r w:rsidR="00830569" w:rsidRPr="001F2B36">
        <w:rPr>
          <w:sz w:val="24"/>
        </w:rPr>
        <w:t>Simulated learning sessions have been successfully implemented as a tool for developing the required skills in a safe and realistic setting (</w:t>
      </w:r>
      <w:r w:rsidR="00830569">
        <w:rPr>
          <w:sz w:val="24"/>
        </w:rPr>
        <w:t>Aggarwal et al 2010).</w:t>
      </w:r>
      <w:r w:rsidR="00046F35">
        <w:rPr>
          <w:sz w:val="24"/>
        </w:rPr>
        <w:t xml:space="preserve"> </w:t>
      </w:r>
      <w:r w:rsidRPr="006470BE">
        <w:rPr>
          <w:sz w:val="24"/>
        </w:rPr>
        <w:t>Recent investment at the University provided the creation of four purpose buil</w:t>
      </w:r>
      <w:r w:rsidR="00F21071">
        <w:rPr>
          <w:sz w:val="24"/>
        </w:rPr>
        <w:t>t</w:t>
      </w:r>
      <w:r w:rsidRPr="006470BE">
        <w:rPr>
          <w:sz w:val="24"/>
        </w:rPr>
        <w:t xml:space="preserve"> mock wards </w:t>
      </w:r>
      <w:r w:rsidR="00B56460">
        <w:rPr>
          <w:sz w:val="24"/>
        </w:rPr>
        <w:t>each replicating</w:t>
      </w:r>
      <w:r w:rsidRPr="006470BE">
        <w:rPr>
          <w:sz w:val="24"/>
        </w:rPr>
        <w:t xml:space="preserve"> the clinical environment of a</w:t>
      </w:r>
      <w:r w:rsidR="00B56460">
        <w:rPr>
          <w:sz w:val="24"/>
        </w:rPr>
        <w:t>n</w:t>
      </w:r>
      <w:r w:rsidRPr="006470BE">
        <w:rPr>
          <w:sz w:val="24"/>
        </w:rPr>
        <w:t xml:space="preserve"> </w:t>
      </w:r>
      <w:r w:rsidR="00B56460">
        <w:rPr>
          <w:sz w:val="24"/>
        </w:rPr>
        <w:t xml:space="preserve">acute </w:t>
      </w:r>
      <w:r w:rsidRPr="006470BE">
        <w:rPr>
          <w:sz w:val="24"/>
        </w:rPr>
        <w:t xml:space="preserve">hospital </w:t>
      </w:r>
      <w:r w:rsidR="00B56460">
        <w:rPr>
          <w:sz w:val="24"/>
        </w:rPr>
        <w:t>setting.</w:t>
      </w:r>
      <w:r w:rsidR="00830569">
        <w:rPr>
          <w:sz w:val="24"/>
        </w:rPr>
        <w:t xml:space="preserve"> </w:t>
      </w:r>
    </w:p>
    <w:p w14:paraId="01895042" w14:textId="77777777" w:rsidR="003362CD" w:rsidRDefault="003362CD" w:rsidP="00C53BFD">
      <w:pPr>
        <w:jc w:val="both"/>
        <w:rPr>
          <w:b/>
          <w:sz w:val="24"/>
        </w:rPr>
      </w:pPr>
    </w:p>
    <w:p w14:paraId="1AAAF4F7" w14:textId="15C9B4A1" w:rsidR="00F21071" w:rsidRPr="00F21071" w:rsidRDefault="00F21071" w:rsidP="00C53BFD">
      <w:pPr>
        <w:jc w:val="both"/>
        <w:rPr>
          <w:b/>
          <w:sz w:val="24"/>
        </w:rPr>
      </w:pPr>
      <w:r w:rsidRPr="00F21071">
        <w:rPr>
          <w:b/>
          <w:sz w:val="24"/>
        </w:rPr>
        <w:t>Aim:</w:t>
      </w:r>
    </w:p>
    <w:p w14:paraId="762353C2" w14:textId="4451406C" w:rsidR="00F21071" w:rsidRDefault="00F21071" w:rsidP="00C53BFD">
      <w:pPr>
        <w:jc w:val="both"/>
        <w:rPr>
          <w:sz w:val="24"/>
        </w:rPr>
      </w:pPr>
    </w:p>
    <w:p w14:paraId="5C4C1893" w14:textId="4E42235A" w:rsidR="00830569" w:rsidRDefault="00830569" w:rsidP="00C53BFD">
      <w:pPr>
        <w:jc w:val="both"/>
        <w:rPr>
          <w:sz w:val="24"/>
        </w:rPr>
      </w:pPr>
      <w:r>
        <w:rPr>
          <w:sz w:val="24"/>
        </w:rPr>
        <w:t>To explore the perceptions of pharmacy students towards simulated</w:t>
      </w:r>
      <w:r w:rsidR="00046F35">
        <w:rPr>
          <w:sz w:val="24"/>
        </w:rPr>
        <w:t xml:space="preserve"> learning as a tool for developing clinical knowledge and stimulating an interest in hospital pharmacy.</w:t>
      </w:r>
    </w:p>
    <w:p w14:paraId="13776637" w14:textId="77777777" w:rsidR="00F21071" w:rsidRDefault="00F21071" w:rsidP="00C53BFD">
      <w:pPr>
        <w:jc w:val="both"/>
        <w:rPr>
          <w:b/>
          <w:sz w:val="24"/>
        </w:rPr>
      </w:pPr>
    </w:p>
    <w:p w14:paraId="0BD8AEA6" w14:textId="2B847489" w:rsidR="006470BE" w:rsidRDefault="006470BE" w:rsidP="00C53BFD">
      <w:pPr>
        <w:jc w:val="both"/>
        <w:rPr>
          <w:b/>
          <w:sz w:val="24"/>
        </w:rPr>
      </w:pPr>
      <w:r>
        <w:rPr>
          <w:b/>
          <w:sz w:val="24"/>
        </w:rPr>
        <w:t>Method:</w:t>
      </w:r>
    </w:p>
    <w:p w14:paraId="12B0D267" w14:textId="77777777" w:rsidR="006470BE" w:rsidRDefault="006470BE" w:rsidP="00C53BFD">
      <w:pPr>
        <w:jc w:val="both"/>
        <w:rPr>
          <w:sz w:val="24"/>
        </w:rPr>
      </w:pPr>
    </w:p>
    <w:p w14:paraId="24846BF6" w14:textId="28E84297" w:rsidR="006470BE" w:rsidRPr="006470BE" w:rsidRDefault="006470BE" w:rsidP="00C53BFD">
      <w:pPr>
        <w:jc w:val="both"/>
        <w:rPr>
          <w:sz w:val="24"/>
        </w:rPr>
      </w:pPr>
      <w:r w:rsidRPr="006470BE">
        <w:rPr>
          <w:sz w:val="24"/>
        </w:rPr>
        <w:t xml:space="preserve">A series of simulated learning sessions were delivered to Stage 3 </w:t>
      </w:r>
      <w:r w:rsidR="00B56460">
        <w:rPr>
          <w:sz w:val="24"/>
        </w:rPr>
        <w:t xml:space="preserve">pharmacy </w:t>
      </w:r>
      <w:r w:rsidR="00046F35">
        <w:rPr>
          <w:sz w:val="24"/>
        </w:rPr>
        <w:t>students; s</w:t>
      </w:r>
      <w:r w:rsidRPr="006470BE">
        <w:rPr>
          <w:sz w:val="24"/>
        </w:rPr>
        <w:t xml:space="preserve">tudents participated in mock ward rounds </w:t>
      </w:r>
      <w:r w:rsidR="00B56460">
        <w:rPr>
          <w:sz w:val="24"/>
        </w:rPr>
        <w:t xml:space="preserve">and sessions utilising </w:t>
      </w:r>
      <w:r w:rsidRPr="006470BE">
        <w:rPr>
          <w:sz w:val="24"/>
        </w:rPr>
        <w:t>SimMan</w:t>
      </w:r>
      <w:r w:rsidRPr="006470BE">
        <w:rPr>
          <w:rFonts w:cstheme="minorHAnsi"/>
          <w:sz w:val="24"/>
        </w:rPr>
        <w:t>®</w:t>
      </w:r>
      <w:r w:rsidRPr="006470BE">
        <w:rPr>
          <w:sz w:val="24"/>
        </w:rPr>
        <w:t xml:space="preserve"> 3G</w:t>
      </w:r>
      <w:r w:rsidR="00F97E1B">
        <w:rPr>
          <w:sz w:val="24"/>
        </w:rPr>
        <w:t xml:space="preserve"> technology. </w:t>
      </w:r>
      <w:r w:rsidRPr="006470BE">
        <w:rPr>
          <w:sz w:val="24"/>
        </w:rPr>
        <w:t>A particular focus was directed towards patient safety and the safe prescribing of high risk drugs, such as</w:t>
      </w:r>
      <w:r w:rsidR="00F97E1B">
        <w:rPr>
          <w:sz w:val="24"/>
        </w:rPr>
        <w:t xml:space="preserve"> insulin and opioid analgesics.</w:t>
      </w:r>
      <w:r w:rsidR="00B56460">
        <w:rPr>
          <w:sz w:val="24"/>
        </w:rPr>
        <w:t xml:space="preserve"> </w:t>
      </w:r>
      <w:r>
        <w:rPr>
          <w:sz w:val="24"/>
        </w:rPr>
        <w:t>A qualitative evaluation was performe</w:t>
      </w:r>
      <w:r w:rsidR="00F97E1B">
        <w:rPr>
          <w:sz w:val="24"/>
        </w:rPr>
        <w:t>d,</w:t>
      </w:r>
      <w:r>
        <w:rPr>
          <w:sz w:val="24"/>
        </w:rPr>
        <w:t xml:space="preserve"> consisting of a focus group</w:t>
      </w:r>
      <w:r w:rsidR="00F97E1B">
        <w:rPr>
          <w:sz w:val="24"/>
        </w:rPr>
        <w:t xml:space="preserve"> </w:t>
      </w:r>
      <w:r>
        <w:rPr>
          <w:sz w:val="24"/>
        </w:rPr>
        <w:t xml:space="preserve">with a representative sample of </w:t>
      </w:r>
      <w:r w:rsidR="00F97E1B">
        <w:rPr>
          <w:sz w:val="24"/>
        </w:rPr>
        <w:t xml:space="preserve">8 </w:t>
      </w:r>
      <w:r>
        <w:rPr>
          <w:sz w:val="24"/>
        </w:rPr>
        <w:t>students.</w:t>
      </w:r>
    </w:p>
    <w:p w14:paraId="072E707C" w14:textId="77777777" w:rsidR="003362CD" w:rsidRDefault="003362CD" w:rsidP="00C53BFD">
      <w:pPr>
        <w:jc w:val="both"/>
        <w:rPr>
          <w:b/>
          <w:sz w:val="24"/>
        </w:rPr>
      </w:pPr>
    </w:p>
    <w:p w14:paraId="1B9DF20B" w14:textId="77777777" w:rsidR="003362CD" w:rsidRDefault="003362CD" w:rsidP="00C53BFD">
      <w:pPr>
        <w:jc w:val="both"/>
        <w:rPr>
          <w:b/>
          <w:sz w:val="24"/>
        </w:rPr>
      </w:pPr>
      <w:r>
        <w:rPr>
          <w:b/>
          <w:sz w:val="24"/>
        </w:rPr>
        <w:t>Results</w:t>
      </w:r>
      <w:r w:rsidR="0032464A">
        <w:rPr>
          <w:b/>
          <w:sz w:val="24"/>
        </w:rPr>
        <w:t>:</w:t>
      </w:r>
    </w:p>
    <w:p w14:paraId="155B598B" w14:textId="77777777" w:rsidR="00F97E1B" w:rsidRDefault="00F97E1B" w:rsidP="00C53BFD">
      <w:pPr>
        <w:jc w:val="both"/>
        <w:rPr>
          <w:sz w:val="24"/>
        </w:rPr>
      </w:pPr>
    </w:p>
    <w:p w14:paraId="6C86D48A" w14:textId="77777777" w:rsidR="00F97E1B" w:rsidRDefault="00F97E1B" w:rsidP="00C53BFD">
      <w:pPr>
        <w:jc w:val="both"/>
        <w:rPr>
          <w:sz w:val="24"/>
        </w:rPr>
      </w:pPr>
      <w:r>
        <w:rPr>
          <w:sz w:val="24"/>
        </w:rPr>
        <w:t>S</w:t>
      </w:r>
      <w:r w:rsidR="006470BE" w:rsidRPr="006470BE">
        <w:rPr>
          <w:sz w:val="24"/>
        </w:rPr>
        <w:t>tudents perceive</w:t>
      </w:r>
      <w:r>
        <w:rPr>
          <w:sz w:val="24"/>
        </w:rPr>
        <w:t>d</w:t>
      </w:r>
      <w:r w:rsidR="006470BE" w:rsidRPr="006470BE">
        <w:rPr>
          <w:sz w:val="24"/>
        </w:rPr>
        <w:t xml:space="preserve"> </w:t>
      </w:r>
      <w:r>
        <w:rPr>
          <w:sz w:val="24"/>
        </w:rPr>
        <w:t xml:space="preserve">simulated learning </w:t>
      </w:r>
      <w:r w:rsidR="006470BE" w:rsidRPr="006470BE">
        <w:rPr>
          <w:sz w:val="24"/>
        </w:rPr>
        <w:t>to have improved their retention of knowledge and their ability to apply concepts to the care of patients.</w:t>
      </w:r>
      <w:r>
        <w:rPr>
          <w:sz w:val="24"/>
        </w:rPr>
        <w:t xml:space="preserve"> Students </w:t>
      </w:r>
      <w:r w:rsidR="006470BE" w:rsidRPr="006470BE">
        <w:rPr>
          <w:sz w:val="24"/>
        </w:rPr>
        <w:t xml:space="preserve">reported that the sessions required them to adapt to unfamiliar and challenging situations; a skill which will be beneficial for them in practice. Following the sessions, a number of students expressed a desire to pursue a career in hospital pharmacy. </w:t>
      </w:r>
    </w:p>
    <w:p w14:paraId="0B94ACAE" w14:textId="77777777" w:rsidR="00F97E1B" w:rsidRDefault="00F97E1B" w:rsidP="00C53BFD">
      <w:pPr>
        <w:jc w:val="both"/>
        <w:rPr>
          <w:sz w:val="24"/>
        </w:rPr>
      </w:pPr>
    </w:p>
    <w:p w14:paraId="61B158B7" w14:textId="77777777" w:rsidR="00F97E1B" w:rsidRDefault="00F97E1B" w:rsidP="00C53BFD">
      <w:pPr>
        <w:jc w:val="both"/>
        <w:rPr>
          <w:sz w:val="24"/>
        </w:rPr>
      </w:pPr>
      <w:r w:rsidRPr="006470BE">
        <w:rPr>
          <w:sz w:val="24"/>
        </w:rPr>
        <w:t>One of the key observations made was the high level of engagement in the simulated ward sessions compared to tradi</w:t>
      </w:r>
      <w:r>
        <w:rPr>
          <w:sz w:val="24"/>
        </w:rPr>
        <w:t>tional</w:t>
      </w:r>
      <w:r w:rsidR="00B56460">
        <w:rPr>
          <w:sz w:val="24"/>
        </w:rPr>
        <w:t xml:space="preserve"> classroom activities</w:t>
      </w:r>
      <w:r>
        <w:rPr>
          <w:sz w:val="24"/>
        </w:rPr>
        <w:t xml:space="preserve">; the </w:t>
      </w:r>
      <w:r w:rsidRPr="006470BE">
        <w:rPr>
          <w:sz w:val="24"/>
        </w:rPr>
        <w:t>interactive nature of the sessions facilitated a higher level of discussion around key top</w:t>
      </w:r>
      <w:r>
        <w:rPr>
          <w:sz w:val="24"/>
        </w:rPr>
        <w:t>ics.</w:t>
      </w:r>
    </w:p>
    <w:p w14:paraId="6BA54596" w14:textId="77777777" w:rsidR="00F97E1B" w:rsidRDefault="00F97E1B" w:rsidP="00C53BFD">
      <w:pPr>
        <w:jc w:val="both"/>
        <w:rPr>
          <w:sz w:val="24"/>
        </w:rPr>
      </w:pPr>
    </w:p>
    <w:p w14:paraId="3E6B74EB" w14:textId="77777777" w:rsidR="006470BE" w:rsidRPr="006470BE" w:rsidRDefault="006470BE" w:rsidP="00C53BFD">
      <w:pPr>
        <w:jc w:val="both"/>
        <w:rPr>
          <w:sz w:val="24"/>
        </w:rPr>
      </w:pPr>
      <w:r w:rsidRPr="006470BE">
        <w:rPr>
          <w:sz w:val="24"/>
        </w:rPr>
        <w:t>Students highlighted the potential benefits of increasing the number of interactive resources in the sessions;</w:t>
      </w:r>
      <w:r w:rsidR="00B56460">
        <w:rPr>
          <w:sz w:val="24"/>
        </w:rPr>
        <w:t xml:space="preserve"> further</w:t>
      </w:r>
      <w:r w:rsidR="00F97E1B">
        <w:rPr>
          <w:sz w:val="24"/>
        </w:rPr>
        <w:t xml:space="preserve"> utilisation of </w:t>
      </w:r>
      <w:r w:rsidR="00F97E1B" w:rsidRPr="006470BE">
        <w:rPr>
          <w:sz w:val="24"/>
        </w:rPr>
        <w:t>SimMan</w:t>
      </w:r>
      <w:r w:rsidR="00F97E1B" w:rsidRPr="006470BE">
        <w:rPr>
          <w:rFonts w:cstheme="minorHAnsi"/>
          <w:sz w:val="24"/>
        </w:rPr>
        <w:t>®</w:t>
      </w:r>
      <w:r w:rsidR="00F97E1B" w:rsidRPr="006470BE">
        <w:rPr>
          <w:sz w:val="24"/>
        </w:rPr>
        <w:t xml:space="preserve"> 3G </w:t>
      </w:r>
      <w:r w:rsidR="00F97E1B">
        <w:rPr>
          <w:sz w:val="24"/>
        </w:rPr>
        <w:t xml:space="preserve">and </w:t>
      </w:r>
      <w:r w:rsidRPr="006470BE">
        <w:rPr>
          <w:sz w:val="24"/>
        </w:rPr>
        <w:lastRenderedPageBreak/>
        <w:t xml:space="preserve">additional facilitators, such as </w:t>
      </w:r>
      <w:r w:rsidR="00F97E1B">
        <w:rPr>
          <w:sz w:val="24"/>
        </w:rPr>
        <w:t xml:space="preserve">nursing staff, medics and </w:t>
      </w:r>
      <w:r w:rsidR="00B56460">
        <w:rPr>
          <w:sz w:val="24"/>
        </w:rPr>
        <w:t>patients</w:t>
      </w:r>
      <w:r w:rsidR="00C53BFD">
        <w:rPr>
          <w:sz w:val="24"/>
        </w:rPr>
        <w:t xml:space="preserve"> </w:t>
      </w:r>
      <w:r w:rsidR="00F97E1B">
        <w:rPr>
          <w:sz w:val="24"/>
        </w:rPr>
        <w:t xml:space="preserve">could </w:t>
      </w:r>
      <w:r w:rsidRPr="006470BE">
        <w:rPr>
          <w:sz w:val="24"/>
        </w:rPr>
        <w:t>enhance the realism of the simulation</w:t>
      </w:r>
      <w:r w:rsidR="00F97E1B">
        <w:rPr>
          <w:sz w:val="24"/>
        </w:rPr>
        <w:t>.</w:t>
      </w:r>
    </w:p>
    <w:p w14:paraId="3B7124BA" w14:textId="77777777" w:rsidR="00F97E1B" w:rsidRPr="006470BE" w:rsidRDefault="00F97E1B" w:rsidP="00C53BFD">
      <w:pPr>
        <w:jc w:val="both"/>
        <w:rPr>
          <w:b/>
          <w:sz w:val="32"/>
        </w:rPr>
      </w:pPr>
    </w:p>
    <w:p w14:paraId="7EE2891E" w14:textId="77777777" w:rsidR="003362CD" w:rsidRDefault="003362CD" w:rsidP="00C53BFD">
      <w:pPr>
        <w:jc w:val="both"/>
        <w:rPr>
          <w:b/>
          <w:sz w:val="24"/>
        </w:rPr>
      </w:pPr>
      <w:r>
        <w:rPr>
          <w:b/>
          <w:sz w:val="24"/>
        </w:rPr>
        <w:t>Conclusion</w:t>
      </w:r>
      <w:r w:rsidR="0032464A">
        <w:rPr>
          <w:b/>
          <w:sz w:val="24"/>
        </w:rPr>
        <w:t>:</w:t>
      </w:r>
    </w:p>
    <w:p w14:paraId="53B34479" w14:textId="77777777" w:rsidR="003362CD" w:rsidRDefault="003362CD" w:rsidP="00C53BFD">
      <w:pPr>
        <w:jc w:val="both"/>
        <w:rPr>
          <w:sz w:val="24"/>
        </w:rPr>
      </w:pPr>
    </w:p>
    <w:p w14:paraId="1F56CA79" w14:textId="77777777" w:rsidR="003362CD" w:rsidRDefault="006470BE" w:rsidP="00C53BFD">
      <w:pPr>
        <w:jc w:val="both"/>
        <w:rPr>
          <w:sz w:val="24"/>
        </w:rPr>
      </w:pPr>
      <w:r>
        <w:rPr>
          <w:sz w:val="24"/>
        </w:rPr>
        <w:t xml:space="preserve">Students perceive that simulated learning can enhance knowledge retention and </w:t>
      </w:r>
      <w:r w:rsidR="00B56460">
        <w:rPr>
          <w:sz w:val="24"/>
        </w:rPr>
        <w:t xml:space="preserve">develop </w:t>
      </w:r>
      <w:r>
        <w:rPr>
          <w:sz w:val="24"/>
        </w:rPr>
        <w:t>the ability to adapt to challenging situations. Simulated wa</w:t>
      </w:r>
      <w:r w:rsidR="00C53BFD">
        <w:rPr>
          <w:sz w:val="24"/>
        </w:rPr>
        <w:t>rd activities</w:t>
      </w:r>
      <w:r>
        <w:rPr>
          <w:sz w:val="24"/>
        </w:rPr>
        <w:t xml:space="preserve"> can be utilised to </w:t>
      </w:r>
      <w:r w:rsidR="00F97E1B">
        <w:rPr>
          <w:sz w:val="24"/>
        </w:rPr>
        <w:t>develop aspirations towards a career in hospital pharmacy.</w:t>
      </w:r>
    </w:p>
    <w:p w14:paraId="5FA248BD" w14:textId="77777777" w:rsidR="0032464A" w:rsidRDefault="0032464A" w:rsidP="00C53BFD">
      <w:pPr>
        <w:jc w:val="both"/>
        <w:rPr>
          <w:sz w:val="24"/>
        </w:rPr>
      </w:pPr>
    </w:p>
    <w:p w14:paraId="6FCD711F" w14:textId="77777777" w:rsidR="0032464A" w:rsidRDefault="0032464A" w:rsidP="00C53BFD">
      <w:pPr>
        <w:jc w:val="both"/>
        <w:rPr>
          <w:sz w:val="24"/>
        </w:rPr>
      </w:pPr>
    </w:p>
    <w:p w14:paraId="6771BC31" w14:textId="77777777" w:rsidR="00830569" w:rsidRPr="00830569" w:rsidRDefault="00830569" w:rsidP="00830569">
      <w:pPr>
        <w:jc w:val="both"/>
        <w:rPr>
          <w:b/>
          <w:sz w:val="24"/>
        </w:rPr>
      </w:pPr>
      <w:r w:rsidRPr="00830569">
        <w:rPr>
          <w:b/>
          <w:sz w:val="24"/>
        </w:rPr>
        <w:t>References:</w:t>
      </w:r>
    </w:p>
    <w:p w14:paraId="697CF8D6" w14:textId="77777777" w:rsidR="00830569" w:rsidRDefault="00830569" w:rsidP="00830569">
      <w:pPr>
        <w:jc w:val="both"/>
        <w:rPr>
          <w:sz w:val="24"/>
        </w:rPr>
      </w:pPr>
    </w:p>
    <w:p w14:paraId="0FD9EEF7" w14:textId="114D9C97" w:rsidR="00830569" w:rsidRPr="001F2B36" w:rsidRDefault="00830569" w:rsidP="00830569">
      <w:pPr>
        <w:jc w:val="both"/>
        <w:rPr>
          <w:sz w:val="24"/>
        </w:rPr>
      </w:pPr>
      <w:r w:rsidRPr="001F2B36">
        <w:rPr>
          <w:sz w:val="24"/>
        </w:rPr>
        <w:t xml:space="preserve">Aggarwal R, </w:t>
      </w:r>
      <w:proofErr w:type="spellStart"/>
      <w:r w:rsidRPr="001F2B36">
        <w:rPr>
          <w:sz w:val="24"/>
        </w:rPr>
        <w:t>Mytton</w:t>
      </w:r>
      <w:proofErr w:type="spellEnd"/>
      <w:r w:rsidRPr="001F2B36">
        <w:rPr>
          <w:sz w:val="24"/>
        </w:rPr>
        <w:t xml:space="preserve"> OT, </w:t>
      </w:r>
      <w:proofErr w:type="spellStart"/>
      <w:r w:rsidRPr="001F2B36">
        <w:rPr>
          <w:sz w:val="24"/>
        </w:rPr>
        <w:t>Derbrew</w:t>
      </w:r>
      <w:proofErr w:type="spellEnd"/>
      <w:r w:rsidRPr="001F2B36">
        <w:rPr>
          <w:sz w:val="24"/>
        </w:rPr>
        <w:t xml:space="preserve"> M, et al Training and simulation for patient safety BMJ Quality &amp; Safety 2010;</w:t>
      </w:r>
      <w:proofErr w:type="gramStart"/>
      <w:r w:rsidRPr="001F2B36">
        <w:rPr>
          <w:sz w:val="24"/>
        </w:rPr>
        <w:t>19:i</w:t>
      </w:r>
      <w:proofErr w:type="gramEnd"/>
      <w:r w:rsidRPr="001F2B36">
        <w:rPr>
          <w:sz w:val="24"/>
        </w:rPr>
        <w:t>34-i43.</w:t>
      </w:r>
    </w:p>
    <w:p w14:paraId="36FC807C" w14:textId="77777777" w:rsidR="00830569" w:rsidRDefault="00830569" w:rsidP="00C53BFD">
      <w:pPr>
        <w:jc w:val="both"/>
      </w:pPr>
    </w:p>
    <w:sectPr w:rsidR="00830569" w:rsidSect="00F748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3F587" w14:textId="77777777" w:rsidR="004D4F50" w:rsidRDefault="004D4F50" w:rsidP="00F546C1">
      <w:r>
        <w:separator/>
      </w:r>
    </w:p>
  </w:endnote>
  <w:endnote w:type="continuationSeparator" w:id="0">
    <w:p w14:paraId="5F0D7630" w14:textId="77777777" w:rsidR="004D4F50" w:rsidRDefault="004D4F50" w:rsidP="00F5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342E1" w14:textId="77777777" w:rsidR="004D4F50" w:rsidRDefault="004D4F50" w:rsidP="00F546C1">
      <w:r>
        <w:separator/>
      </w:r>
    </w:p>
  </w:footnote>
  <w:footnote w:type="continuationSeparator" w:id="0">
    <w:p w14:paraId="3B1863BF" w14:textId="77777777" w:rsidR="004D4F50" w:rsidRDefault="004D4F50" w:rsidP="00F5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61D8"/>
    <w:multiLevelType w:val="hybridMultilevel"/>
    <w:tmpl w:val="E4D8E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11742"/>
    <w:multiLevelType w:val="hybridMultilevel"/>
    <w:tmpl w:val="6E32E7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1F"/>
    <w:rsid w:val="00046F35"/>
    <w:rsid w:val="00087FCA"/>
    <w:rsid w:val="0017717B"/>
    <w:rsid w:val="002E712A"/>
    <w:rsid w:val="003050E0"/>
    <w:rsid w:val="0032464A"/>
    <w:rsid w:val="003362CD"/>
    <w:rsid w:val="004137F6"/>
    <w:rsid w:val="004D13D7"/>
    <w:rsid w:val="004D4F50"/>
    <w:rsid w:val="005E2DD7"/>
    <w:rsid w:val="006470BE"/>
    <w:rsid w:val="006E1583"/>
    <w:rsid w:val="006E1E4F"/>
    <w:rsid w:val="007C6D0A"/>
    <w:rsid w:val="007F1BFF"/>
    <w:rsid w:val="00830569"/>
    <w:rsid w:val="00902CA1"/>
    <w:rsid w:val="009C071F"/>
    <w:rsid w:val="00A605F9"/>
    <w:rsid w:val="00A76F33"/>
    <w:rsid w:val="00B53B56"/>
    <w:rsid w:val="00B56460"/>
    <w:rsid w:val="00C53BFD"/>
    <w:rsid w:val="00C60226"/>
    <w:rsid w:val="00D06142"/>
    <w:rsid w:val="00D471F0"/>
    <w:rsid w:val="00DE687D"/>
    <w:rsid w:val="00E517D0"/>
    <w:rsid w:val="00F21071"/>
    <w:rsid w:val="00F546C1"/>
    <w:rsid w:val="00F74841"/>
    <w:rsid w:val="00F97E1B"/>
    <w:rsid w:val="00FC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32FAC"/>
  <w14:defaultImageDpi w14:val="300"/>
  <w15:docId w15:val="{785995EB-8661-428C-9387-00853E04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71F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A1"/>
    <w:rPr>
      <w:rFonts w:ascii="Lucida Grande" w:hAnsi="Lucida Grande" w:cs="Lucida Grande"/>
      <w:sz w:val="18"/>
      <w:szCs w:val="18"/>
    </w:rPr>
  </w:style>
  <w:style w:type="character" w:styleId="Emphasis">
    <w:name w:val="Emphasis"/>
    <w:qFormat/>
    <w:rsid w:val="009C071F"/>
    <w:rPr>
      <w:i/>
      <w:iCs/>
    </w:rPr>
  </w:style>
  <w:style w:type="table" w:styleId="TableGrid">
    <w:name w:val="Table Grid"/>
    <w:basedOn w:val="TableNormal"/>
    <w:uiPriority w:val="59"/>
    <w:rsid w:val="005E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6C1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54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6C1"/>
    <w:rPr>
      <w:rFonts w:ascii="Arial" w:eastAsia="Times New Roman" w:hAnsi="Arial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C53B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B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Piasecki</dc:creator>
  <cp:lastModifiedBy>Andrew Sturrock</cp:lastModifiedBy>
  <cp:revision>2</cp:revision>
  <dcterms:created xsi:type="dcterms:W3CDTF">2018-06-27T08:42:00Z</dcterms:created>
  <dcterms:modified xsi:type="dcterms:W3CDTF">2018-06-27T08:42:00Z</dcterms:modified>
</cp:coreProperties>
</file>